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</w:rPr>
      </w:pPr>
      <w:bookmarkStart w:id="0" w:name="Release22.06June2022%C2%A0"/>
      <w:bookmarkEnd w:id="0"/>
      <w:bookmarkStart w:id="1" w:name="Release22.05May2022"/>
      <w:bookmarkEnd w:id="1"/>
      <w:bookmarkStart w:id="2" w:name="Release22.04April2022"/>
      <w:bookmarkEnd w:id="2"/>
      <w:bookmarkStart w:id="3" w:name="Release22.03March2022"/>
      <w:bookmarkEnd w:id="3"/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  <w:shd w:val="clear" w:fill="FFFFFF"/>
        </w:rPr>
        <w:t>Release 22.03 - March 2022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New Features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The system time zone and user time zone settings are available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Enhancements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UI is compatible with more display resolutions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You can view historical data in the DoS Threat Map</w:t>
      </w: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  <w:shd w:val="clear" w:fill="FFFFFF"/>
        </w:rPr>
        <w:t>Release 22.04 - April 2022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New Features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Dashboard customization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Enhancements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You can import items to an existing object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The confirmation dialog shows the deletion targets to avoid ambiguity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Add more filters for convenient object search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  <w:shd w:val="clear" w:fill="FFFFFF"/>
        </w:rPr>
        <w:t>Release 22.05 - May 2022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New Features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Add preview in the chart library creation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Add rule comparison view in the audit log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Enhancements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The subscriber information is available for the proxy policy to render an intuitive block page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Restrict logon hours by admin role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Notify user of concurrent admin sessions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-1"/>
          <w:sz w:val="24"/>
          <w:szCs w:val="24"/>
          <w:shd w:val="clear" w:fill="FFFFFF"/>
        </w:rPr>
        <w:t>Release 22.06 - June 2022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New Features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Support for Remote Desktop Protocol (RDP)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The log retention period can be set on a per-type and per-field basis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Enhancements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You can switch between text view and table view at log exploration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You can add signatures to built-in applications</w:t>
      </w:r>
    </w:p>
    <w:p>
      <w:pPr>
        <w:widowControl/>
        <w:shd w:val="clear" w:color="auto" w:fill="FFFFFF"/>
        <w:spacing w:before="450"/>
        <w:jc w:val="left"/>
        <w:outlineLvl w:val="2"/>
        <w:rPr>
          <w:rFonts w:ascii="Segoe UI" w:hAnsi="Segoe UI" w:eastAsia="宋体" w:cs="Segoe UI"/>
          <w:b/>
          <w:bCs/>
          <w:color w:val="172B4D"/>
          <w:spacing w:val="-1"/>
          <w:kern w:val="0"/>
          <w:sz w:val="24"/>
          <w:szCs w:val="24"/>
        </w:rPr>
      </w:pPr>
      <w:r>
        <w:rPr>
          <w:rFonts w:hint="default" w:ascii="Segoe UI" w:hAnsi="Segoe UI" w:eastAsia="宋体" w:cs="Segoe UI"/>
          <w:b/>
          <w:bCs/>
          <w:color w:val="172B4D"/>
          <w:spacing w:val="-1"/>
          <w:kern w:val="0"/>
          <w:sz w:val="24"/>
          <w:szCs w:val="24"/>
        </w:rPr>
        <w:t>Release 22.07 - July 2022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New Features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Login profile to improve system security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Personal access token for RESTful API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Enhancements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Administrative features are moved to Admin Area for manageability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Add log option to monitor rule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r>
        <w:rPr>
          <w:rFonts w:hint="default" w:ascii="Segoe UI" w:hAnsi="Segoe UI" w:eastAsia="宋体" w:cs="Segoe UI"/>
          <w:color w:val="172B4D"/>
          <w:kern w:val="0"/>
          <w:szCs w:val="21"/>
        </w:rPr>
        <w:t>Report notification supports multiple email addresses</w:t>
      </w: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  <w:bookmarkStart w:id="5" w:name="_GoBack"/>
      <w:bookmarkEnd w:id="5"/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</w:p>
    <w:p>
      <w:pPr>
        <w:widowControl/>
        <w:numPr>
          <w:numId w:val="0"/>
        </w:numPr>
        <w:shd w:val="clear" w:color="auto" w:fill="FFFFFF"/>
        <w:spacing w:before="100" w:beforeAutospacing="1" w:after="100" w:afterAutospacing="1"/>
        <w:ind w:left="360" w:leftChars="0"/>
        <w:jc w:val="left"/>
        <w:rPr>
          <w:rFonts w:hint="default" w:ascii="Segoe UI" w:hAnsi="Segoe UI" w:eastAsia="宋体" w:cs="Segoe UI"/>
          <w:color w:val="172B4D"/>
          <w:kern w:val="0"/>
          <w:szCs w:val="21"/>
        </w:rPr>
      </w:pPr>
    </w:p>
    <w:p>
      <w:bookmarkStart w:id="4" w:name="Release22.02%C2%A0February2022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D606C"/>
    <w:multiLevelType w:val="multilevel"/>
    <w:tmpl w:val="6E3D60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2C38"/>
    <w:rsid w:val="2471674B"/>
    <w:rsid w:val="266B29AE"/>
    <w:rsid w:val="30F1651D"/>
    <w:rsid w:val="5A455061"/>
    <w:rsid w:val="5ABC3E4E"/>
    <w:rsid w:val="7F7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liuju</dc:creator>
  <cp:lastModifiedBy>刘菊</cp:lastModifiedBy>
  <dcterms:modified xsi:type="dcterms:W3CDTF">2022-08-19T08:51:48Z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50BECA3EBA74423FA7586F88486C7331</vt:lpwstr>
  </property>
</Properties>
</file>